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kern w:val="0"/>
          <w:sz w:val="32"/>
          <w:szCs w:val="32"/>
        </w:rPr>
        <w:t>第一部分  邀请函</w:t>
      </w:r>
    </w:p>
    <w:p>
      <w:pPr>
        <w:rPr>
          <w:rFonts w:ascii="微软雅黑" w:hAnsi="微软雅黑" w:eastAsia="微软雅黑"/>
          <w:color w:val="333333"/>
          <w:kern w:val="0"/>
          <w:sz w:val="29"/>
          <w:szCs w:val="29"/>
        </w:rPr>
      </w:pPr>
    </w:p>
    <w:p>
      <w:pPr>
        <w:ind w:firstLine="560" w:firstLineChars="20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天津工业大学202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333333"/>
          <w:kern w:val="0"/>
          <w:sz w:val="28"/>
          <w:szCs w:val="28"/>
        </w:rPr>
        <w:t>年大三、研二年级及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结核病</w:t>
      </w:r>
      <w:r>
        <w:rPr>
          <w:rFonts w:hint="eastAsia" w:ascii="宋体" w:hAnsi="宋体"/>
          <w:color w:val="333333"/>
          <w:kern w:val="0"/>
          <w:sz w:val="28"/>
          <w:szCs w:val="28"/>
        </w:rPr>
        <w:t>高疫情区学生结核病体检项目招标，现邀请信誉好、实力强的供应商（投标人）参加。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采购编号：</w:t>
      </w:r>
    </w:p>
    <w:p>
      <w:pPr>
        <w:pStyle w:val="12"/>
        <w:numPr>
          <w:ilvl w:val="0"/>
          <w:numId w:val="1"/>
        </w:numPr>
        <w:ind w:firstLineChars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项目名称：天津工业大学</w:t>
      </w:r>
      <w:r>
        <w:rPr>
          <w:rFonts w:hint="eastAsia" w:ascii="宋体" w:hAnsi="宋体"/>
          <w:color w:val="333333"/>
          <w:kern w:val="0"/>
          <w:sz w:val="28"/>
          <w:szCs w:val="28"/>
        </w:rPr>
        <w:t>202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333333"/>
          <w:kern w:val="0"/>
          <w:sz w:val="28"/>
          <w:szCs w:val="28"/>
        </w:rPr>
        <w:t>年大三、研二年级及结核病高疫情省份学生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体检项目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采购货物名称、数量：见第二部分招标项目需求。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投标报名时间：202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日，每日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:00-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: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0（本项目不收取报名费）。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投标报名地点：天津工业大学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保障中心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四楼414室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安全与监督管理科（报名时需持本人身份证原件、加盖公章的医疗机构执业许可证复印件）。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提交响应文件地点、时间：天津工业大学后勤管理处四楼会议室，202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上午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9: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0；逾期收到或不符合规定的标书恕不接受。响应文件为正本1套,副本2套。</w:t>
      </w:r>
    </w:p>
    <w:p>
      <w:pPr>
        <w:pStyle w:val="12"/>
        <w:widowControl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开标时间：202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上午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9：30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⒏开标地点：天津工业大学后勤管理处四楼会议室</w:t>
      </w:r>
    </w:p>
    <w:p>
      <w:pPr>
        <w:widowControl/>
        <w:ind w:firstLine="700" w:firstLineChars="250"/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9.联系方式：</w:t>
      </w:r>
    </w:p>
    <w:p>
      <w:pPr>
        <w:widowControl/>
        <w:ind w:firstLine="840" w:firstLineChars="3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地址：天津市西青区宾水西道399号</w:t>
      </w:r>
    </w:p>
    <w:p>
      <w:pPr>
        <w:widowControl/>
        <w:ind w:firstLine="840" w:firstLineChars="3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联系人：刘老师</w:t>
      </w:r>
    </w:p>
    <w:p>
      <w:pPr>
        <w:ind w:firstLine="840" w:firstLineChars="300"/>
        <w:rPr>
          <w:rStyle w:val="7"/>
          <w:rFonts w:hint="default" w:ascii="黑体" w:hAnsi="黑体" w:eastAsia="宋体"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电话：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83955168</w:t>
      </w:r>
    </w:p>
    <w:p>
      <w:pPr>
        <w:jc w:val="center"/>
        <w:rPr>
          <w:rStyle w:val="7"/>
          <w:rFonts w:hint="eastAsia" w:ascii="黑体" w:hAnsi="黑体" w:eastAsia="黑体"/>
          <w:color w:val="333333"/>
          <w:sz w:val="32"/>
          <w:szCs w:val="32"/>
        </w:rPr>
      </w:pPr>
    </w:p>
    <w:p>
      <w:pPr>
        <w:widowControl/>
        <w:ind w:firstLine="840" w:firstLineChars="300"/>
        <w:jc w:val="right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2024年5月14日</w:t>
      </w:r>
    </w:p>
    <w:p>
      <w:pPr>
        <w:jc w:val="center"/>
        <w:rPr>
          <w:rStyle w:val="7"/>
          <w:rFonts w:ascii="黑体" w:hAnsi="黑体" w:eastAsia="黑体"/>
          <w:color w:val="333333"/>
          <w:sz w:val="32"/>
          <w:szCs w:val="32"/>
        </w:rPr>
      </w:pPr>
      <w:r>
        <w:rPr>
          <w:rStyle w:val="7"/>
          <w:rFonts w:hint="eastAsia" w:ascii="黑体" w:hAnsi="黑体" w:eastAsia="黑体"/>
          <w:color w:val="333333"/>
          <w:sz w:val="32"/>
          <w:szCs w:val="32"/>
        </w:rPr>
        <w:t>第二部分  项目需求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一、资质要求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⒈体检机构须有医疗机构执业许可证、放射诊疗许可证。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⒉有能入校进行DR胸片检查的体检车。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⒊提供服务的医务人员须具有相应执业资格证。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⒋有承接高校体检的经验。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二、项目内容</w:t>
      </w:r>
    </w:p>
    <w:p>
      <w:pPr>
        <w:spacing w:line="440" w:lineRule="exact"/>
        <w:ind w:firstLine="6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胸部数字化X线成像（DR)。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三、预算金额</w:t>
      </w:r>
    </w:p>
    <w:p>
      <w:pPr>
        <w:widowControl/>
        <w:ind w:left="720" w:leftChars="267" w:hanging="159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15元/人，以实际发生金额为准。</w:t>
      </w:r>
    </w:p>
    <w:p>
      <w:pPr>
        <w:widowControl/>
        <w:ind w:left="721" w:leftChars="267" w:hanging="160" w:hangingChars="57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</w:rPr>
        <w:t>评标办法</w:t>
      </w:r>
    </w:p>
    <w:p>
      <w:pPr>
        <w:widowControl/>
        <w:ind w:left="720" w:leftChars="267" w:hanging="159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>本项目</w:t>
      </w:r>
      <w:r>
        <w:rPr>
          <w:rFonts w:ascii="宋体"/>
          <w:sz w:val="28"/>
          <w:szCs w:val="28"/>
        </w:rPr>
        <w:t>采取竞争性磋商方式,以评分最</w:t>
      </w:r>
      <w:r>
        <w:rPr>
          <w:rFonts w:hint="eastAsia" w:ascii="宋体"/>
          <w:sz w:val="28"/>
          <w:szCs w:val="28"/>
        </w:rPr>
        <w:t>高</w:t>
      </w:r>
      <w:r>
        <w:rPr>
          <w:rFonts w:ascii="宋体"/>
          <w:sz w:val="28"/>
          <w:szCs w:val="28"/>
        </w:rPr>
        <w:t>者为中标单位。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五、服务期限：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1年。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六、服务范围：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大三、研二年级学生和结核病高疫情省份学生进行胸部DR检查，并对可疑患者进行就诊指导。</w:t>
      </w:r>
    </w:p>
    <w:p>
      <w:pPr>
        <w:widowControl/>
        <w:ind w:left="721" w:leftChars="267" w:hanging="160" w:hangingChars="57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七、项目要求</w:t>
      </w:r>
    </w:p>
    <w:p>
      <w:pPr>
        <w:widowControl/>
        <w:ind w:firstLine="560" w:firstLineChars="200"/>
        <w:jc w:val="left"/>
        <w:rPr>
          <w:rStyle w:val="8"/>
          <w:rFonts w:hint="default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检查完毕，及时给出可疑患者名单，给予可疑患者就诊指导。</w:t>
      </w:r>
    </w:p>
    <w:p>
      <w:pPr>
        <w:widowControl/>
        <w:ind w:firstLine="562" w:firstLineChars="20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八、支付方式：</w:t>
      </w:r>
    </w:p>
    <w:p>
      <w:pPr>
        <w:widowControl/>
        <w:ind w:firstLine="560" w:firstLineChars="20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检查完毕、可疑患者就诊指导完毕后，服务方提供全额发票一个月内付清。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</w:rPr>
        <w:t>：</w:t>
      </w:r>
    </w:p>
    <w:p>
      <w:pPr>
        <w:snapToGrid w:val="0"/>
        <w:spacing w:line="500" w:lineRule="exact"/>
        <w:ind w:firstLine="480" w:firstLineChars="200"/>
        <w:contextualSpacing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评分因素与评审标准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15"/>
        <w:gridCol w:w="650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第一部分 价格分（10分）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价格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（1）投标报价超过采购预算的，投标无效，未超过采购预算的投标报价按以下公式进行计算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（2）投标报价得分=（评标基准价/投标报价）×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注：满足招标文件要求且投标报价最低的投标报价为评标基准价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第二部分 客观分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（60分）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lang w:val="en-US" w:eastAsia="zh-CN"/>
              </w:rPr>
              <w:t>投标人相关业绩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提供与本项目内容相关且已经完成的业绩证明材料（已完成的合同签订时间为20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年1月1日以后）</w:t>
            </w:r>
            <w:r>
              <w:rPr>
                <w:rFonts w:ascii="宋体" w:hAnsi="宋体" w:cs="宋体"/>
                <w:color w:val="00000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相关证明材料均不得遮挡涂黑</w:t>
            </w:r>
            <w:r>
              <w:rPr>
                <w:rFonts w:ascii="宋体" w:hAnsi="宋体" w:cs="宋体"/>
                <w:color w:val="000000"/>
                <w:sz w:val="24"/>
              </w:rPr>
              <w:t>，否则不予认定加分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。一个业绩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分，满分</w:t>
            </w:r>
            <w:r>
              <w:rPr>
                <w:rFonts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分。证明材料包括：提供合同复印件（包括合同金额、合同服务内容、甲乙双方名称及盖章）</w:t>
            </w:r>
          </w:p>
          <w:p>
            <w:pPr>
              <w:contextualSpacing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医务人员资质评价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投标人的体检医师同时具备医师资格证书和医师执业证书，提供证书复印件加盖公章。每提供一份齐全证书得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分，最多得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投标人的放射技师应具备放射工作人员证书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提供证书复印件加盖公章。每提供一份齐全证书得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分，最多得</w:t>
            </w: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医疗能力情况评价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结核病定点医疗机构。具有放射诊疗许可证。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每提供一项得5分，最高得10分。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检验设备评价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提供放射设备（DR检测设备）年检合格报告，并注明设备所在体检地点。按上述要求放射设备（DR检测设备）每提供一台得5分，最高1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体检环境评价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一天内能同时承接1000人以上体检服务得10分；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一天内能同时承接500-1000人体检服务得5分；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一天内能同时承接500人以内体检服务得2分；</w:t>
            </w: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其他不得分。</w:t>
            </w:r>
          </w:p>
          <w:p>
            <w:pPr>
              <w:widowControl/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要求：提供书面承诺并加盖公章。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29" w:type="dxa"/>
            <w:gridSpan w:val="3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第三部分 主观分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b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kern w:val="0"/>
                <w:sz w:val="24"/>
              </w:rPr>
              <w:t>体检服务方案设计评价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就体检服务方案设计进行评价，方案具有全面性、针对性、可操作性很强，空间划分、检查流程等方面满足采购需求。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服务方案对项目需求理解全面，有针对性，可操作性很强，空间划分、检查流程等方面完全满足采购需求：10分；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满足招标文件要求，但内容存在1处瑕疵：7分；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满足招标文件要求，但内容存在2处瑕疵：5分；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满足招标文件要求，但内容存在3处瑕疵：3分；</w:t>
            </w: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 w:ascii="宋体" w:hAnsi="宋体" w:cs="宋体"/>
                <w:sz w:val="24"/>
              </w:rPr>
              <w:t>应急预案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就</w:t>
            </w:r>
            <w:r>
              <w:rPr>
                <w:rFonts w:hint="eastAsia" w:ascii="宋体" w:hAnsi="宋体" w:cs="宋体"/>
                <w:sz w:val="24"/>
              </w:rPr>
              <w:t>投标人</w:t>
            </w:r>
            <w:r>
              <w:rPr>
                <w:rFonts w:hint="eastAsia"/>
                <w:kern w:val="0"/>
                <w:sz w:val="24"/>
              </w:rPr>
              <w:t>制定的应急预案，从完整性、合理性、可操作性等方面进行评价。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应急预案完整、合理，可操作性强，完全满足磋商文件要求：10分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满足招标文件要求，但内容存在1处瑕疵：7分；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满足招标文件要求，但内容存在2处瑕疵：5分；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满足招标文件要求，但内容存在3处瑕疵：3分；</w:t>
            </w:r>
          </w:p>
          <w:p>
            <w:pPr>
              <w:snapToGrid w:val="0"/>
              <w:jc w:val="left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FF0000"/>
                <w:sz w:val="24"/>
                <w:u w:val="none" w:color="000000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napToGrid w:val="0"/>
              <w:jc w:val="center"/>
              <w:rPr>
                <w:color w:val="FF0000"/>
              </w:rPr>
            </w:pPr>
            <w:r>
              <w:rPr>
                <w:sz w:val="24"/>
              </w:rPr>
              <w:t>服务承诺</w:t>
            </w:r>
          </w:p>
        </w:tc>
        <w:tc>
          <w:tcPr>
            <w:tcW w:w="6505" w:type="dxa"/>
            <w:noWrap w:val="0"/>
            <w:vAlign w:val="center"/>
          </w:tcPr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根据承诺内容的全面性、可实现性、体检结果的出具及送达等方面进行评价。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服务承诺具有全面性、可实现性，可操作性强，并优于招标文件要求：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满足招标文件要求，但内容存在1处瑕疵：</w:t>
            </w: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满足招标文件要求，但内容存在2处瑕疵：</w:t>
            </w: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满足招标文件要求，但内容存在3处瑕疵：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分；</w:t>
            </w:r>
          </w:p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  <w:u w:val="none" w:color="000000"/>
              </w:rPr>
            </w:pPr>
            <w:r>
              <w:rPr>
                <w:rFonts w:hint="eastAsia"/>
                <w:kern w:val="0"/>
                <w:sz w:val="24"/>
              </w:rPr>
              <w:t>未提供方案：0分。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FF0000"/>
                <w:sz w:val="24"/>
                <w:u w:val="none" w:color="000000"/>
              </w:rPr>
            </w:pPr>
            <w:r>
              <w:rPr>
                <w:rFonts w:ascii="宋体" w:hAnsi="宋体" w:cs="宋体"/>
                <w:bCs/>
                <w:sz w:val="24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</w:rPr>
              <w:t>分</w:t>
            </w:r>
          </w:p>
        </w:tc>
      </w:tr>
    </w:tbl>
    <w:p>
      <w:pPr>
        <w:rPr>
          <w:rFonts w:ascii="宋体" w:hAnsi="宋体"/>
        </w:rPr>
      </w:pPr>
    </w:p>
    <w:p>
      <w:pPr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46046"/>
    <w:multiLevelType w:val="multilevel"/>
    <w:tmpl w:val="25946046"/>
    <w:lvl w:ilvl="0" w:tentative="0">
      <w:start w:val="1"/>
      <w:numFmt w:val="decimalEnclosedFullstop"/>
      <w:lvlText w:val="%1"/>
      <w:lvlJc w:val="left"/>
      <w:pPr>
        <w:ind w:left="920" w:hanging="360"/>
      </w:pPr>
      <w:rPr>
        <w:rFonts w:hint="default" w:ascii="方正仿宋_GBK" w:eastAsia="方正仿宋_GBK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TBjYjVjNzExNzdhMDIyZmIxODU0ZGViMjMzMjIifQ=="/>
  </w:docVars>
  <w:rsids>
    <w:rsidRoot w:val="00D50CB4"/>
    <w:rsid w:val="00007DE6"/>
    <w:rsid w:val="00024006"/>
    <w:rsid w:val="00033C40"/>
    <w:rsid w:val="00040D29"/>
    <w:rsid w:val="0006156C"/>
    <w:rsid w:val="00064A39"/>
    <w:rsid w:val="000A2064"/>
    <w:rsid w:val="000F7811"/>
    <w:rsid w:val="00102554"/>
    <w:rsid w:val="0011254B"/>
    <w:rsid w:val="00113529"/>
    <w:rsid w:val="00151C0F"/>
    <w:rsid w:val="00184E5D"/>
    <w:rsid w:val="00186352"/>
    <w:rsid w:val="001961E4"/>
    <w:rsid w:val="001F73AA"/>
    <w:rsid w:val="00207B0B"/>
    <w:rsid w:val="0028439F"/>
    <w:rsid w:val="002F0389"/>
    <w:rsid w:val="00336B23"/>
    <w:rsid w:val="00365BED"/>
    <w:rsid w:val="00390681"/>
    <w:rsid w:val="003C2E8A"/>
    <w:rsid w:val="003D2AB9"/>
    <w:rsid w:val="003D4085"/>
    <w:rsid w:val="003D40F0"/>
    <w:rsid w:val="004077E7"/>
    <w:rsid w:val="00422288"/>
    <w:rsid w:val="00463AF4"/>
    <w:rsid w:val="00467B8D"/>
    <w:rsid w:val="004704BB"/>
    <w:rsid w:val="00475B7D"/>
    <w:rsid w:val="004B5BA3"/>
    <w:rsid w:val="004D3B8F"/>
    <w:rsid w:val="00532858"/>
    <w:rsid w:val="00533565"/>
    <w:rsid w:val="00546375"/>
    <w:rsid w:val="0055045A"/>
    <w:rsid w:val="005515BD"/>
    <w:rsid w:val="0059234F"/>
    <w:rsid w:val="005A7F63"/>
    <w:rsid w:val="005B1E17"/>
    <w:rsid w:val="005C28C9"/>
    <w:rsid w:val="005C334E"/>
    <w:rsid w:val="00606820"/>
    <w:rsid w:val="00625E0B"/>
    <w:rsid w:val="00635AB9"/>
    <w:rsid w:val="006536AD"/>
    <w:rsid w:val="00657323"/>
    <w:rsid w:val="006672F2"/>
    <w:rsid w:val="00696F34"/>
    <w:rsid w:val="006A092F"/>
    <w:rsid w:val="00723081"/>
    <w:rsid w:val="00753BB3"/>
    <w:rsid w:val="0077626E"/>
    <w:rsid w:val="00851CB3"/>
    <w:rsid w:val="008654AE"/>
    <w:rsid w:val="00887850"/>
    <w:rsid w:val="008C0DC5"/>
    <w:rsid w:val="008D6C63"/>
    <w:rsid w:val="00921C38"/>
    <w:rsid w:val="0093369C"/>
    <w:rsid w:val="00952216"/>
    <w:rsid w:val="00970901"/>
    <w:rsid w:val="009D1B49"/>
    <w:rsid w:val="009D5A29"/>
    <w:rsid w:val="009D744C"/>
    <w:rsid w:val="00A56A38"/>
    <w:rsid w:val="00A626C4"/>
    <w:rsid w:val="00A7303C"/>
    <w:rsid w:val="00A84676"/>
    <w:rsid w:val="00AC7EBD"/>
    <w:rsid w:val="00AD4979"/>
    <w:rsid w:val="00B53A62"/>
    <w:rsid w:val="00B770C1"/>
    <w:rsid w:val="00B92E6E"/>
    <w:rsid w:val="00BA1A55"/>
    <w:rsid w:val="00BB70D8"/>
    <w:rsid w:val="00BE0DAC"/>
    <w:rsid w:val="00BE7B2B"/>
    <w:rsid w:val="00C13229"/>
    <w:rsid w:val="00C3606C"/>
    <w:rsid w:val="00C649BE"/>
    <w:rsid w:val="00C70BC5"/>
    <w:rsid w:val="00C95ADD"/>
    <w:rsid w:val="00CD117F"/>
    <w:rsid w:val="00D354AA"/>
    <w:rsid w:val="00D50CB4"/>
    <w:rsid w:val="00D9723D"/>
    <w:rsid w:val="00DB6555"/>
    <w:rsid w:val="00DF0B35"/>
    <w:rsid w:val="00E2517D"/>
    <w:rsid w:val="00E342BD"/>
    <w:rsid w:val="00E434EF"/>
    <w:rsid w:val="00E52E11"/>
    <w:rsid w:val="00E56C42"/>
    <w:rsid w:val="00E66A58"/>
    <w:rsid w:val="00E86D27"/>
    <w:rsid w:val="00F04BDB"/>
    <w:rsid w:val="00F25066"/>
    <w:rsid w:val="00F963EA"/>
    <w:rsid w:val="00FB6519"/>
    <w:rsid w:val="0F784FB5"/>
    <w:rsid w:val="1C6D0605"/>
    <w:rsid w:val="1CD47574"/>
    <w:rsid w:val="308B46F0"/>
    <w:rsid w:val="3DEB4A20"/>
    <w:rsid w:val="4335673E"/>
    <w:rsid w:val="46177169"/>
    <w:rsid w:val="6D69748A"/>
    <w:rsid w:val="72273572"/>
    <w:rsid w:val="758A76A6"/>
    <w:rsid w:val="77F57C6E"/>
    <w:rsid w:val="7B0326A2"/>
    <w:rsid w:val="7F482D79"/>
    <w:rsid w:val="7FD50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9">
    <w:name w:val="fontstyle11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1742</Words>
  <Characters>1851</Characters>
  <Lines>13</Lines>
  <Paragraphs>3</Paragraphs>
  <TotalTime>28</TotalTime>
  <ScaleCrop>false</ScaleCrop>
  <LinksUpToDate>false</LinksUpToDate>
  <CharactersWithSpaces>1858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2022-07-08T07:37:00Z</dcterms:created>
  <dc:creator>10494</dc:creator>
  <cp:lastModifiedBy>未定义</cp:lastModifiedBy>
  <dcterms:modified xsi:type="dcterms:W3CDTF">2024-05-14T06:17:53Z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9F14205536C94B7D840C103A4768A11D_13</vt:lpwstr>
  </property>
</Properties>
</file>